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20" w:rsidRDefault="00C31C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1C20" w:rsidRDefault="00C31C20">
      <w:pPr>
        <w:pStyle w:val="ConsPlusNormal"/>
        <w:jc w:val="both"/>
      </w:pPr>
    </w:p>
    <w:p w:rsidR="00C31C20" w:rsidRDefault="00C31C20">
      <w:pPr>
        <w:pStyle w:val="ConsPlusNormal"/>
      </w:pPr>
      <w:r>
        <w:t>Зарегистрировано в Минюсте России 5 февраля 2013 г. N 26826</w:t>
      </w:r>
    </w:p>
    <w:p w:rsidR="00C31C20" w:rsidRDefault="00C31C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Title"/>
        <w:jc w:val="center"/>
      </w:pPr>
      <w:r>
        <w:t>МИНИСТЕРСТВО ЗДРАВООХРАНЕНИЯ РОССИЙСКОЙ ФЕДЕРАЦИИ</w:t>
      </w:r>
    </w:p>
    <w:p w:rsidR="00C31C20" w:rsidRDefault="00C31C20">
      <w:pPr>
        <w:pStyle w:val="ConsPlusTitle"/>
        <w:jc w:val="center"/>
      </w:pPr>
    </w:p>
    <w:p w:rsidR="00C31C20" w:rsidRDefault="00C31C20">
      <w:pPr>
        <w:pStyle w:val="ConsPlusTitle"/>
        <w:jc w:val="center"/>
      </w:pPr>
      <w:r>
        <w:t>ПРИКАЗ</w:t>
      </w:r>
    </w:p>
    <w:p w:rsidR="00C31C20" w:rsidRDefault="00C31C20">
      <w:pPr>
        <w:pStyle w:val="ConsPlusTitle"/>
        <w:jc w:val="center"/>
      </w:pPr>
      <w:r>
        <w:t>от 9 ноября 2012 г. N 710н</w:t>
      </w:r>
    </w:p>
    <w:p w:rsidR="00C31C20" w:rsidRDefault="00C31C20">
      <w:pPr>
        <w:pStyle w:val="ConsPlusTitle"/>
        <w:jc w:val="center"/>
      </w:pPr>
    </w:p>
    <w:p w:rsidR="00C31C20" w:rsidRDefault="00C31C20">
      <w:pPr>
        <w:pStyle w:val="ConsPlusTitle"/>
        <w:jc w:val="center"/>
      </w:pPr>
      <w:r>
        <w:t>ОБ УТВЕРЖДЕНИИ СТАНДАРТА</w:t>
      </w:r>
    </w:p>
    <w:p w:rsidR="00C31C20" w:rsidRDefault="00C31C20">
      <w:pPr>
        <w:pStyle w:val="ConsPlusTitle"/>
        <w:jc w:val="center"/>
      </w:pPr>
      <w:r>
        <w:t>СПЕЦИАЛИЗИРОВАННОЙ МЕДИЦИНСКОЙ ПОМОЩИ</w:t>
      </w:r>
    </w:p>
    <w:p w:rsidR="00C31C20" w:rsidRDefault="00C31C20">
      <w:pPr>
        <w:pStyle w:val="ConsPlusTitle"/>
        <w:jc w:val="center"/>
      </w:pPr>
      <w:r>
        <w:t>ПРИ ЖЕЛУДОЧКОВОЙ ТАХИКАРДИИ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31C20" w:rsidRDefault="00C31C20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желудочковой тахикардии согласно приложению.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jc w:val="right"/>
      </w:pPr>
      <w:r>
        <w:t>Министр</w:t>
      </w:r>
    </w:p>
    <w:p w:rsidR="00C31C20" w:rsidRDefault="00C31C20">
      <w:pPr>
        <w:pStyle w:val="ConsPlusNormal"/>
        <w:jc w:val="right"/>
      </w:pPr>
      <w:r>
        <w:t>В.И.СКВОРЦОВА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jc w:val="right"/>
      </w:pPr>
      <w:r>
        <w:t>Приложение</w:t>
      </w:r>
    </w:p>
    <w:p w:rsidR="00C31C20" w:rsidRDefault="00C31C20">
      <w:pPr>
        <w:pStyle w:val="ConsPlusNormal"/>
        <w:jc w:val="right"/>
      </w:pPr>
      <w:r>
        <w:t>к приказу Министерства здравоохранения</w:t>
      </w:r>
    </w:p>
    <w:p w:rsidR="00C31C20" w:rsidRDefault="00C31C20">
      <w:pPr>
        <w:pStyle w:val="ConsPlusNormal"/>
        <w:jc w:val="right"/>
      </w:pPr>
      <w:r>
        <w:t>Российской Федерации</w:t>
      </w:r>
    </w:p>
    <w:p w:rsidR="00C31C20" w:rsidRDefault="00C31C20">
      <w:pPr>
        <w:pStyle w:val="ConsPlusNormal"/>
        <w:jc w:val="right"/>
      </w:pPr>
      <w:r>
        <w:t>от 9 ноября 2012 г. N 710н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Title"/>
        <w:jc w:val="center"/>
      </w:pPr>
      <w:bookmarkStart w:id="0" w:name="P28"/>
      <w:bookmarkEnd w:id="0"/>
      <w:r>
        <w:t>СТАНДАРТ</w:t>
      </w:r>
    </w:p>
    <w:p w:rsidR="00C31C20" w:rsidRDefault="00C31C20">
      <w:pPr>
        <w:pStyle w:val="ConsPlusTitle"/>
        <w:jc w:val="center"/>
      </w:pPr>
      <w:r>
        <w:t>СПЕЦИАЛИЗИРОВАННОЙ МЕДИЦИНСКОЙ ПОМОЩИ</w:t>
      </w:r>
    </w:p>
    <w:p w:rsidR="00C31C20" w:rsidRDefault="00C31C20">
      <w:pPr>
        <w:pStyle w:val="ConsPlusTitle"/>
        <w:jc w:val="center"/>
      </w:pPr>
      <w:r>
        <w:t>ПРИ ЖЕЛУДОЧКОВОЙ ТАХИКАРДИИ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C31C20" w:rsidRDefault="00C31C20">
      <w:pPr>
        <w:pStyle w:val="ConsPlusNormal"/>
        <w:ind w:firstLine="540"/>
        <w:jc w:val="both"/>
      </w:pPr>
      <w:r>
        <w:t>Пол: любой</w:t>
      </w:r>
    </w:p>
    <w:p w:rsidR="00C31C20" w:rsidRDefault="00C31C20">
      <w:pPr>
        <w:pStyle w:val="ConsPlusNormal"/>
        <w:ind w:firstLine="540"/>
        <w:jc w:val="both"/>
      </w:pPr>
      <w:r>
        <w:t>Фаза: любая</w:t>
      </w:r>
    </w:p>
    <w:p w:rsidR="00C31C20" w:rsidRDefault="00C31C20">
      <w:pPr>
        <w:pStyle w:val="ConsPlusNormal"/>
        <w:ind w:firstLine="540"/>
        <w:jc w:val="both"/>
      </w:pPr>
      <w:r>
        <w:t>Стадия: любая</w:t>
      </w:r>
    </w:p>
    <w:p w:rsidR="00C31C20" w:rsidRDefault="00C31C20">
      <w:pPr>
        <w:pStyle w:val="ConsPlusNormal"/>
        <w:ind w:firstLine="540"/>
        <w:jc w:val="both"/>
      </w:pPr>
      <w:r>
        <w:t>Осложнение: вне зависимости от осложнений</w:t>
      </w:r>
    </w:p>
    <w:p w:rsidR="00C31C20" w:rsidRDefault="00C31C20">
      <w:pPr>
        <w:pStyle w:val="ConsPlusNormal"/>
        <w:ind w:firstLine="540"/>
        <w:jc w:val="both"/>
      </w:pPr>
      <w:r>
        <w:t>Вид медицинской помощи: специализированная медицинская помощь</w:t>
      </w:r>
    </w:p>
    <w:p w:rsidR="00C31C20" w:rsidRDefault="00C31C20">
      <w:pPr>
        <w:pStyle w:val="ConsPlusNormal"/>
        <w:ind w:firstLine="540"/>
        <w:jc w:val="both"/>
      </w:pPr>
      <w:r>
        <w:t>Условия оказания медицинской помощи: стационарно</w:t>
      </w:r>
    </w:p>
    <w:p w:rsidR="00C31C20" w:rsidRDefault="00C31C20">
      <w:pPr>
        <w:pStyle w:val="ConsPlusNormal"/>
        <w:ind w:firstLine="540"/>
        <w:jc w:val="both"/>
      </w:pPr>
      <w:r>
        <w:t>Форма оказания медицинской помощи: неотложная</w:t>
      </w:r>
    </w:p>
    <w:p w:rsidR="00C31C20" w:rsidRDefault="00C31C20">
      <w:pPr>
        <w:pStyle w:val="ConsPlusNormal"/>
        <w:ind w:firstLine="540"/>
        <w:jc w:val="both"/>
      </w:pPr>
      <w:r>
        <w:t>Средние сроки лечения (количество дней): 10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Cell"/>
        <w:jc w:val="both"/>
      </w:pPr>
      <w:r>
        <w:t xml:space="preserve">    Код по </w:t>
      </w:r>
      <w:hyperlink r:id="rId6" w:history="1">
        <w:r>
          <w:rPr>
            <w:color w:val="0000FF"/>
          </w:rPr>
          <w:t>МКБ X</w:t>
        </w:r>
      </w:hyperlink>
      <w:r>
        <w:t xml:space="preserve"> </w:t>
      </w:r>
      <w:hyperlink w:anchor="P666" w:history="1">
        <w:r>
          <w:rPr>
            <w:color w:val="0000FF"/>
          </w:rPr>
          <w:t>&lt;*&gt;</w:t>
        </w:r>
      </w:hyperlink>
    </w:p>
    <w:p w:rsidR="00C31C20" w:rsidRDefault="00C31C20">
      <w:pPr>
        <w:pStyle w:val="ConsPlusCell"/>
        <w:jc w:val="both"/>
      </w:pPr>
      <w:r>
        <w:t xml:space="preserve">    Нозологические единицы       I47.2  Желудочковая тахикардия</w:t>
      </w:r>
    </w:p>
    <w:p w:rsidR="00C31C20" w:rsidRDefault="00C31C20">
      <w:pPr>
        <w:pStyle w:val="ConsPlusNormal"/>
        <w:jc w:val="both"/>
      </w:pPr>
    </w:p>
    <w:p w:rsidR="00C31C20" w:rsidRDefault="00C31C20">
      <w:pPr>
        <w:pStyle w:val="ConsPlusNormal"/>
        <w:ind w:firstLine="540"/>
        <w:jc w:val="both"/>
      </w:pPr>
      <w:r>
        <w:t>1. Медицинские мероприятия для диагностики заболевания, состояния в течение 3 дней</w:t>
      </w:r>
    </w:p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консультация) врача-специалиста             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  <w:p w:rsidR="00C31C20" w:rsidRDefault="00C31C20">
            <w:pPr>
              <w:pStyle w:val="ConsPlusNonformat"/>
              <w:jc w:val="both"/>
            </w:pP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B01.003.001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Осмотр (консультация)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реаниматологом первичный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B01.015.001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кардиолога первичный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B01.015.003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детского кардиолога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невролога первичный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B01.043.001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сердечно-сосудистого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хирурга первичный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B01.058.001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эндокринолога первичный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B01.058.003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первичный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  <w:r>
        <w:t>--------------------------------</w:t>
      </w:r>
    </w:p>
    <w:p w:rsidR="00C31C20" w:rsidRDefault="00C31C20">
      <w:pPr>
        <w:pStyle w:val="ConsPlusNormal"/>
        <w:ind w:firstLine="540"/>
        <w:jc w:val="both"/>
      </w:pPr>
      <w:bookmarkStart w:id="1" w:name="P89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A09.05.043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креатинкиназы в крови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A09.05.049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факторов свертывания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A09.05.060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трийодтиронина (T3) в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A09.05.063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Исследование уровня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свободного тироксина (T4)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A09.05.065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Исследование тиреотропина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сыворотки крови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A09.05.127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Исследование уровня общего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магния в сыворотке крови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A09.05.193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уровня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тропонина в крови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A09.30.010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международного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нормализованного отношения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(МНО)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A12.05.005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основных групп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крови (A, B, 0)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A12.05.006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резус-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принадлежности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Проведение реакции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Вассермана (RW)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A26.06.038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классов M, G (IgM, IgG) к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антигену вирусного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гепатита B (HBeAg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Hepatitis B virus) в крови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A26.06.041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классов M, G (IgM, IgG) к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вирусному гепатиту C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(Hepatitis C virus) в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крови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классов M, G (IgM, IgG) к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вирусу иммунодефицита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человека ВИЧ-1 (Human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immunodeficiency virus HIV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1) в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A26.06.049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Определение антител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классов M, G (IgM, IgG) к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вирусу иммунодефицита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человека ВИЧ-2 (Human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immunodeficiency virus HIV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2) в крови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B03.005.006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Коагулограмма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(ориентировочное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крови развернутый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A04.10.002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Эхокардиография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A04.10.002.001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Эхокардиография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чреспищеводная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A04.22.001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Ультразвуковое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исследование щитовидной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железы и паращитовидных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желез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Регистрация электрической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активности проводящей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системы сердца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A05.10.006.001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Поверхностное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электрокардиографическое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картирование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A05.10.006.002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Внутрисердечное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электрофизиологическое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исследование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A05.10.008.001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Холтеровское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мониторирование сердечного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ритма (ХМ-ЭКГ)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A05.10.009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Магнитно-резонансная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томография сердца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Коронарография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A06.30.002.002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Описание и интерпретация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магнитно-резонансных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томограмм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A12.12.004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Суточное мониторирование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артериального давления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  <w:r>
        <w:t>2. Медицинские услуги для лечения заболевания, состояния и контроля за лечением в течение указанной продолжительности лечения</w:t>
      </w:r>
    </w:p>
    <w:p w:rsidR="00C31C20" w:rsidRDefault="00C31C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консультация) и наблюдение врача-специалиста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B01.003.003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врачом-анестезиологом-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реаниматологом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B01.015.005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Ежедневный осмотр врачом -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детским кардиологом с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наблюдением и уходом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среднего и младшего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медицинского персонала в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отделении стационара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B01.015.006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Ежедневный осмотр врачом-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кардиологом с наблюдением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 уходом среднего и        </w:t>
            </w:r>
          </w:p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младшего медицинского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персонала в отделении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стационара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0,6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B01.023.002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невролога повторный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B01.043.002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сердечно-сосудистого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хирурга повторный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B01.058.002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врача-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эндокринолога повторный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B01.058.004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Прием (осмотр,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консультация) врача -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детского эндокринолога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повторный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0,25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Наблюдение и уход за пациентом медицинскими работниками со средним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(начальным) профессиональным образованием                  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B03.003.005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Суточное наблюдение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реанимационного пациента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Лабораторные методы исследования                           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B03.005.006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Коагулограмма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(ориентировочное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исследование системы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гемостаза)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B03.016.003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Общий (клинический) анализ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крови развернутый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Анализ крови биохимический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общетерапевтический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Анализ мочи общий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           </w:t>
            </w:r>
          </w:p>
        </w:tc>
      </w:tr>
    </w:tbl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Инструментальные методы исследования                          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A04.10.002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Эхокардиография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Регистрация 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электрокардиограммы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A05.10.007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Мониторирование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электрокардиографических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данных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A05.10.008.001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Холтеровское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мониторирование сердечного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ритма (ХМ-ЭКГ)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Рентгенография легких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Рентгенография сердца в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трех проекциях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A06.10.006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Коронарография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A06.10.008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Вентрикулография сердца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A12.10.001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Электрокардиография с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физическими упражнениями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480"/>
        <w:gridCol w:w="2160"/>
        <w:gridCol w:w="1680"/>
      </w:tblGrid>
      <w:tr w:rsidR="00C31C20">
        <w:trPr>
          <w:trHeight w:val="240"/>
        </w:trPr>
        <w:tc>
          <w:tcPr>
            <w:tcW w:w="9360" w:type="dxa"/>
            <w:gridSpan w:val="4"/>
          </w:tcPr>
          <w:p w:rsidR="00C31C20" w:rsidRDefault="00C31C20">
            <w:pPr>
              <w:pStyle w:val="ConsPlusNonformat"/>
              <w:jc w:val="both"/>
            </w:pPr>
            <w:r>
              <w:t xml:space="preserve">Хирургические, эндоскопические, эндоваскулярные и другие методы лечения,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Код медицинской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медицинской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     услуги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предоставления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Усредненный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показатель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кратности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применения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A16.10.014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Имплантация 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кардиостимулятора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A16.10.014.001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Имплантация кардиовертера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дефибриллятора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A16.10.015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Удаление или замена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имплантированного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кардиостимулятора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A16.10.019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Деструкция проводящих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путей и аритмогенных зон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сердца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A17.10.001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Электроимпульсная терапия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при патологии сердца и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перикарда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0,01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A17.10.002 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Электрокардиостимуляция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B01.003.004    </w:t>
            </w:r>
          </w:p>
        </w:tc>
        <w:tc>
          <w:tcPr>
            <w:tcW w:w="34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Анестезиологическое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пособие (включая раннее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послеоперационное ведение) </w:t>
            </w:r>
          </w:p>
        </w:tc>
        <w:tc>
          <w:tcPr>
            <w:tcW w:w="21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sectPr w:rsidR="00C31C20" w:rsidSect="00926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1C20" w:rsidRDefault="00C31C20">
      <w:pPr>
        <w:pStyle w:val="ConsPlusNormal"/>
        <w:jc w:val="both"/>
      </w:pPr>
    </w:p>
    <w:p w:rsidR="00C31C20" w:rsidRDefault="00C31C20">
      <w:pPr>
        <w:pStyle w:val="ConsPlusNormal"/>
        <w:ind w:firstLine="540"/>
        <w:jc w:val="both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80"/>
        <w:gridCol w:w="2760"/>
        <w:gridCol w:w="2640"/>
        <w:gridCol w:w="2040"/>
        <w:gridCol w:w="1440"/>
        <w:gridCol w:w="1320"/>
        <w:gridCol w:w="1080"/>
      </w:tblGrid>
      <w:tr w:rsidR="00C31C20">
        <w:trPr>
          <w:trHeight w:val="240"/>
        </w:trPr>
        <w:tc>
          <w:tcPr>
            <w:tcW w:w="108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Код  </w:t>
            </w:r>
          </w:p>
        </w:tc>
        <w:tc>
          <w:tcPr>
            <w:tcW w:w="276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    Анатомо-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терапевтическо-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 химическая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классификация    </w:t>
            </w:r>
          </w:p>
        </w:tc>
        <w:tc>
          <w:tcPr>
            <w:tcW w:w="264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  Наименование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лекарственного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препарата </w:t>
            </w:r>
            <w:hyperlink w:anchor="P66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Усредненный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показатель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частоты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предоставления </w:t>
            </w:r>
          </w:p>
        </w:tc>
        <w:tc>
          <w:tcPr>
            <w:tcW w:w="144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Единицы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132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 ССД   </w:t>
            </w:r>
          </w:p>
          <w:p w:rsidR="00C31C20" w:rsidRDefault="00C31C20">
            <w:pPr>
              <w:pStyle w:val="ConsPlusNonformat"/>
              <w:jc w:val="both"/>
            </w:pPr>
            <w:hyperlink w:anchor="P66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СКД  </w:t>
            </w:r>
          </w:p>
          <w:p w:rsidR="00C31C20" w:rsidRDefault="00C31C20">
            <w:pPr>
              <w:pStyle w:val="ConsPlusNonformat"/>
              <w:jc w:val="both"/>
            </w:pPr>
            <w:hyperlink w:anchor="P669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A01AB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Препараты,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применяемые в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стоматологии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Хлоргексидин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A02BC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Препараты для лечения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язвенной болезни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желудка и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двенадцатиперстной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кишки и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гастроэзофагальной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рефлюксной болезни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Омепразол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A03AD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Препараты для лечения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функциональных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нарушений кишечника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Дротаверин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160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1600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A03BA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Алкалоиды белладонны,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третичные амины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Атропин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A03FA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Стимуляторы моторики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желудочно-кишечного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тракта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Метоклопрамид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A06AD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Слабительные средства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Магния сульфат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160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1600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A12AA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Препараты кальция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Кальция глюконат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A12BA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Препараты калия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Калия хлорид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A12CX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Другие минеральные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вещества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Калия и магния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аспарагинат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B01AA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Антитромботические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Варфарин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7,5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90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Группа гепарина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Гепарин натрия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ЕД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28000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140000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Эноксапарин натрия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ЕД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160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1120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B01AC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Антитромботические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Ацетилсалициловая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кислота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B02AA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Антифибринолитические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Аминокапроновая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кислота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20000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100000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B02AB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Антифибринолитические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Апротинин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КИЕ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50000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2000000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B02BC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Витамин K и другие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гемостатические      </w:t>
            </w:r>
          </w:p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Эпинефрин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0,004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0,02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B02BX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Другие системные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гемостатики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Этамзилат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B05CB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Ирригационные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растворы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Натрия гидрокарбонат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Натрия хлорид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C01BB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Антиаритмические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препараты, класс IB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Лидокаин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C01BD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Антиаритмические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препараты, класс III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Амиодарон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8000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C01BG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Другие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антиаритмические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препараты класса I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Лаппаконитина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гидробромид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C01CA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Адренергические и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дофаминергические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Допамин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Добутамин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250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C05AD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Препараты для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местного лечения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геморроя и анальных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трещин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Прокаин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C07AA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Неселективные бета-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адреноблокаторы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Пропранолол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0,05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2400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Соталол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320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6400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C07AB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Селективные бета-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адреноблокаторы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Атенолол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Бисопролол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Метопролол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C08CA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Селективные блокаторы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кальциевых каналов с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преимущественным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действием на сосуды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Амлодипин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Нифедипин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0,150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800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C08DA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Производные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фенилалкиламина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Верапамил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80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600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D07AA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Кортикостероиды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Преднизолон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1600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D07AC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Кортикостероиды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Бетаметазон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80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D08AX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Другие антисептики и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дезинфицирующие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Калия перманганат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0,167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Этанол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0,833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H02AB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Глюкокортикоиды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Дексаметазон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600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J01DD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Цефалоспорины 3-го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поколения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Цефтриаксон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Цефтазидим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28000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Цефотаксим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28000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J01DE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Цефалоспорины 4-го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поколения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Цефепим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2000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14000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J01FA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Макролиды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Азитромицин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500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M01AB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Производные уксусной </w:t>
            </w:r>
          </w:p>
          <w:p w:rsidR="00C31C20" w:rsidRDefault="00C31C20">
            <w:pPr>
              <w:pStyle w:val="ConsPlusNonformat"/>
              <w:jc w:val="both"/>
            </w:pPr>
            <w:r>
              <w:t>кислоты и родственные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соединения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Диклофенак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75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225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Кеторолак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6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18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M01AE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Производные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пропионовой кислоты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0,01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Кетопрофен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90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M03AC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Миорелаксанты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периферического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действия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0,5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Пипекурония бромид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N01AH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>Опиоидные анальгетики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Тримеперидин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0,333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40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Фентанил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0,667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0,075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N01AX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Другие препараты для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общей анестезии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Натрия оксибутират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0,063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мл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Кетамин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0,313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75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Дроперидол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0,313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Пропофол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0,313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200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1200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N05AD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Антипсихотические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средства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Дроперидол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5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15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N05BA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Производные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бензодиазепина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0,2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Диазепам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30 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N05CD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Снотворные и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седативные средства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Мидазолам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100    </w:t>
            </w: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V03AB  </w:t>
            </w: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Антидоты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</w:tr>
      <w:tr w:rsidR="00C31C20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Налоксон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мг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       </w:t>
            </w:r>
          </w:p>
        </w:tc>
        <w:tc>
          <w:tcPr>
            <w:tcW w:w="10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20     </w:t>
            </w:r>
          </w:p>
        </w:tc>
      </w:tr>
    </w:tbl>
    <w:p w:rsidR="00C31C20" w:rsidRDefault="00C31C20">
      <w:pPr>
        <w:pStyle w:val="ConsPlusNormal"/>
        <w:jc w:val="both"/>
      </w:pPr>
    </w:p>
    <w:p w:rsidR="00C31C20" w:rsidRDefault="00C31C20">
      <w:pPr>
        <w:pStyle w:val="ConsPlusNormal"/>
        <w:ind w:firstLine="540"/>
        <w:jc w:val="both"/>
      </w:pPr>
      <w:r>
        <w:t>4. Перечень медицинских изделий, имплантируемых в организм человека</w:t>
      </w:r>
    </w:p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3600"/>
        <w:gridCol w:w="3240"/>
        <w:gridCol w:w="1680"/>
      </w:tblGrid>
      <w:tr w:rsidR="00C31C20">
        <w:trPr>
          <w:trHeight w:val="240"/>
        </w:trPr>
        <w:tc>
          <w:tcPr>
            <w:tcW w:w="84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Код </w:t>
            </w:r>
          </w:p>
        </w:tc>
        <w:tc>
          <w:tcPr>
            <w:tcW w:w="360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   Наименование вида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медицинского изделия    </w:t>
            </w:r>
          </w:p>
        </w:tc>
        <w:tc>
          <w:tcPr>
            <w:tcW w:w="324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Усредненный показатель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частоты предоставления  </w:t>
            </w:r>
          </w:p>
        </w:tc>
        <w:tc>
          <w:tcPr>
            <w:tcW w:w="168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Среднее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количество </w:t>
            </w:r>
          </w:p>
        </w:tc>
      </w:tr>
      <w:tr w:rsidR="00C31C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1707 </w:t>
            </w:r>
          </w:p>
        </w:tc>
        <w:tc>
          <w:tcPr>
            <w:tcW w:w="360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Электрокардиостимулятор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(кардиостимулятор)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имплантируемый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0,6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1789 </w:t>
            </w:r>
          </w:p>
        </w:tc>
        <w:tc>
          <w:tcPr>
            <w:tcW w:w="360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Кардиовертер-дефибрилятор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имплантируемый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0,4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C31C2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lastRenderedPageBreak/>
              <w:t xml:space="preserve">6411 </w:t>
            </w:r>
          </w:p>
        </w:tc>
        <w:tc>
          <w:tcPr>
            <w:tcW w:w="360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Электроды для         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электрокардистимуляторов    </w:t>
            </w:r>
          </w:p>
        </w:tc>
        <w:tc>
          <w:tcPr>
            <w:tcW w:w="324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</w:t>
            </w:r>
          </w:p>
        </w:tc>
      </w:tr>
    </w:tbl>
    <w:p w:rsidR="00C31C20" w:rsidRDefault="00C31C20">
      <w:pPr>
        <w:pStyle w:val="ConsPlusNormal"/>
        <w:jc w:val="both"/>
      </w:pPr>
    </w:p>
    <w:p w:rsidR="00C31C20" w:rsidRDefault="00C31C20">
      <w:pPr>
        <w:pStyle w:val="ConsPlusNormal"/>
        <w:ind w:firstLine="540"/>
        <w:jc w:val="both"/>
      </w:pPr>
      <w:r>
        <w:t>5. Виды лечебного питания, включая специализированные продукты лечебного питания</w:t>
      </w:r>
    </w:p>
    <w:p w:rsidR="00C31C20" w:rsidRDefault="00C31C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2880"/>
        <w:gridCol w:w="1680"/>
      </w:tblGrid>
      <w:tr w:rsidR="00C31C20">
        <w:trPr>
          <w:trHeight w:val="240"/>
        </w:trPr>
        <w:tc>
          <w:tcPr>
            <w:tcW w:w="468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Наименование вида лечебного питания </w:t>
            </w:r>
          </w:p>
        </w:tc>
        <w:tc>
          <w:tcPr>
            <w:tcW w:w="288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    Усредненный    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показатель частоты  </w:t>
            </w:r>
          </w:p>
          <w:p w:rsidR="00C31C20" w:rsidRDefault="00C31C20">
            <w:pPr>
              <w:pStyle w:val="ConsPlusNonformat"/>
              <w:jc w:val="both"/>
            </w:pPr>
            <w:r>
              <w:t xml:space="preserve">    предоставления    </w:t>
            </w:r>
          </w:p>
        </w:tc>
        <w:tc>
          <w:tcPr>
            <w:tcW w:w="1680" w:type="dxa"/>
          </w:tcPr>
          <w:p w:rsidR="00C31C20" w:rsidRDefault="00C31C20">
            <w:pPr>
              <w:pStyle w:val="ConsPlusNonformat"/>
              <w:jc w:val="both"/>
            </w:pPr>
            <w:r>
              <w:t xml:space="preserve"> Количество </w:t>
            </w:r>
          </w:p>
        </w:tc>
      </w:tr>
      <w:tr w:rsidR="00C31C20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Основной вариант стандартной диеты   </w:t>
            </w:r>
          </w:p>
        </w:tc>
        <w:tc>
          <w:tcPr>
            <w:tcW w:w="28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31C20" w:rsidRDefault="00C31C20">
            <w:pPr>
              <w:pStyle w:val="ConsPlusNonformat"/>
              <w:jc w:val="both"/>
            </w:pPr>
            <w:r>
              <w:t xml:space="preserve">10          </w:t>
            </w:r>
          </w:p>
        </w:tc>
      </w:tr>
    </w:tbl>
    <w:p w:rsidR="00C31C20" w:rsidRDefault="00C31C20">
      <w:pPr>
        <w:pStyle w:val="ConsPlusNormal"/>
        <w:jc w:val="both"/>
      </w:pPr>
    </w:p>
    <w:p w:rsidR="00C31C20" w:rsidRDefault="00C31C20">
      <w:pPr>
        <w:pStyle w:val="ConsPlusNormal"/>
        <w:ind w:firstLine="540"/>
        <w:jc w:val="both"/>
      </w:pPr>
      <w:r>
        <w:t>--------------------------------</w:t>
      </w:r>
    </w:p>
    <w:p w:rsidR="00C31C20" w:rsidRDefault="00C31C20">
      <w:pPr>
        <w:pStyle w:val="ConsPlusNormal"/>
        <w:ind w:firstLine="540"/>
        <w:jc w:val="both"/>
      </w:pPr>
      <w:bookmarkStart w:id="2" w:name="P666"/>
      <w:bookmarkEnd w:id="2"/>
      <w:r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C31C20" w:rsidRDefault="00C31C20">
      <w:pPr>
        <w:pStyle w:val="ConsPlusNormal"/>
        <w:ind w:firstLine="540"/>
        <w:jc w:val="both"/>
      </w:pPr>
      <w:bookmarkStart w:id="3" w:name="P667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31C20" w:rsidRDefault="00C31C20">
      <w:pPr>
        <w:pStyle w:val="ConsPlusNormal"/>
        <w:ind w:firstLine="540"/>
        <w:jc w:val="both"/>
      </w:pPr>
      <w:bookmarkStart w:id="4" w:name="P668"/>
      <w:bookmarkEnd w:id="4"/>
      <w:r>
        <w:t>&lt;***&gt; Средняя суточная доза.</w:t>
      </w:r>
    </w:p>
    <w:p w:rsidR="00C31C20" w:rsidRDefault="00C31C20">
      <w:pPr>
        <w:pStyle w:val="ConsPlusNormal"/>
        <w:ind w:firstLine="540"/>
        <w:jc w:val="both"/>
      </w:pPr>
      <w:bookmarkStart w:id="5" w:name="P669"/>
      <w:bookmarkEnd w:id="5"/>
      <w:r>
        <w:t>&lt;****&gt; Средняя курсовая доза.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  <w:r>
        <w:t>Примечания:</w:t>
      </w:r>
    </w:p>
    <w:p w:rsidR="00C31C20" w:rsidRDefault="00C31C20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C31C20" w:rsidRDefault="00C31C20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ind w:firstLine="540"/>
        <w:jc w:val="both"/>
      </w:pPr>
    </w:p>
    <w:p w:rsidR="00C31C20" w:rsidRDefault="00C31C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B35" w:rsidRDefault="007F6B35"/>
    <w:sectPr w:rsidR="007F6B35" w:rsidSect="0067212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1C20"/>
    <w:rsid w:val="007F6B35"/>
    <w:rsid w:val="00C3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1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0F22A97227D05489038CC69654B189742EA65DFD5FA3Ec6y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0D3CAFFFF10D3E9A32320747F01971781F92299722A0719C536cCy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D3CAFFFF10D3E9A32320747F01971781F92299722A0719C536cCy9G" TargetMode="External"/><Relationship Id="rId5" Type="http://schemas.openxmlformats.org/officeDocument/2006/relationships/hyperlink" Target="consultantplus://offline/ref=B7E0D3CAFFFF10D3E9A32224677F01971780F22A97227D05489038CC69654B189742EA65DFD5FD36c6y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3390</Words>
  <Characters>19324</Characters>
  <Application>Microsoft Office Word</Application>
  <DocSecurity>0</DocSecurity>
  <Lines>161</Lines>
  <Paragraphs>45</Paragraphs>
  <ScaleCrop>false</ScaleCrop>
  <Company/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KamalovaVR</dc:creator>
  <cp:lastModifiedBy>KamalovaVR</cp:lastModifiedBy>
  <cp:revision>1</cp:revision>
  <dcterms:created xsi:type="dcterms:W3CDTF">2015-09-30T06:50:00Z</dcterms:created>
  <dcterms:modified xsi:type="dcterms:W3CDTF">2015-09-30T06:51:00Z</dcterms:modified>
</cp:coreProperties>
</file>